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Georgia" w:hAnsi="Georgia"/>
          <w:b w:val="0"/>
          <w:i w:val="0"/>
          <w:caps w:val="0"/>
          <w:color w:val="007AD0"/>
          <w:spacing w:val="0"/>
          <w:sz w:val="26"/>
          <w:highlight w:val="white"/>
        </w:rPr>
      </w:pPr>
      <w:r>
        <w:rPr>
          <w:rFonts w:ascii="Georgia" w:hAnsi="Georgia"/>
          <w:b w:val="0"/>
          <w:i w:val="0"/>
          <w:caps w:val="0"/>
          <w:color w:val="000000"/>
          <w:spacing w:val="0"/>
          <w:sz w:val="26"/>
        </w:rPr>
        <w:t>Муниципальное автоном</w:t>
      </w:r>
      <w:r>
        <w:rPr>
          <w:rFonts w:ascii="Georgia" w:hAnsi="Georgia"/>
          <w:b w:val="0"/>
          <w:i w:val="0"/>
          <w:caps w:val="0"/>
          <w:color w:val="000000"/>
          <w:spacing w:val="0"/>
          <w:sz w:val="26"/>
        </w:rPr>
        <w:t>ное дошкольное образовательное учреждение Городского округа "город Ирбит" Свердловской области «Детский сад № 23»</w:t>
      </w:r>
    </w:p>
    <w:p w14:paraId="02000000">
      <w:pPr>
        <w:spacing w:after="0" w:before="0"/>
        <w:ind w:firstLine="0" w:left="0" w:right="0"/>
        <w:jc w:val="center"/>
        <w:rPr>
          <w:rFonts w:ascii="Georgia" w:hAnsi="Georgia"/>
          <w:b w:val="0"/>
          <w:i w:val="0"/>
          <w:caps w:val="0"/>
          <w:color w:val="007AD0"/>
          <w:spacing w:val="0"/>
          <w:sz w:val="26"/>
          <w:highlight w:val="white"/>
        </w:rPr>
      </w:pPr>
    </w:p>
    <w:p w14:paraId="03000000">
      <w:pPr>
        <w:spacing w:after="0" w:before="0"/>
        <w:ind w:firstLine="0" w:left="0" w:right="0"/>
        <w:jc w:val="right"/>
        <w:rPr>
          <w:rFonts w:ascii="Georgia" w:hAnsi="Georgia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Georgia" w:hAnsi="Georgia"/>
          <w:b w:val="0"/>
          <w:i w:val="0"/>
          <w:caps w:val="0"/>
          <w:color w:val="000000"/>
          <w:spacing w:val="0"/>
          <w:sz w:val="24"/>
          <w:highlight w:val="white"/>
        </w:rPr>
        <w:t>старший воспитатель: Тарасова И.Ю.</w:t>
      </w:r>
    </w:p>
    <w:p w14:paraId="04000000">
      <w:pPr>
        <w:spacing w:after="0" w:before="0"/>
        <w:ind w:firstLine="0" w:left="0" w:right="0"/>
        <w:jc w:val="right"/>
        <w:rPr>
          <w:rFonts w:ascii="Georgia" w:hAnsi="Georgia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05000000">
      <w:pPr>
        <w:pStyle w:val="Style_1"/>
        <w:ind/>
        <w:jc w:val="center"/>
        <w:rPr>
          <w:b w:val="1"/>
          <w:i w:val="1"/>
          <w:caps w:val="1"/>
          <w:sz w:val="30"/>
          <w:u w:val="none"/>
        </w:rPr>
      </w:pPr>
      <w:r>
        <w:rPr>
          <w:b w:val="1"/>
          <w:i w:val="1"/>
          <w:caps w:val="1"/>
          <w:sz w:val="30"/>
          <w:u w:val="none"/>
        </w:rPr>
        <w:t xml:space="preserve">Консультация для воспитателей </w:t>
      </w:r>
    </w:p>
    <w:p w14:paraId="06000000">
      <w:pPr>
        <w:pStyle w:val="Style_1"/>
        <w:ind/>
        <w:jc w:val="center"/>
        <w:rPr>
          <w:b w:val="1"/>
          <w:i w:val="1"/>
          <w:caps w:val="1"/>
          <w:u w:val="none"/>
        </w:rPr>
      </w:pPr>
      <w:r>
        <w:rPr>
          <w:b w:val="1"/>
          <w:i w:val="1"/>
          <w:caps w:val="1"/>
          <w:u w:val="none"/>
        </w:rPr>
        <w:t>«Организация предметно-развивающей среды по правилам дорожного движения в ДОУ в соответствии с ФГОС»</w:t>
      </w:r>
    </w:p>
    <w:p w14:paraId="07000000">
      <w:pPr>
        <w:pStyle w:val="Style_1"/>
        <w:rPr>
          <w:shd w:fill="1771FF" w:val="clear"/>
        </w:rPr>
      </w:pPr>
    </w:p>
    <w:p w14:paraId="08000000">
      <w:pPr>
        <w:pStyle w:val="Style_1"/>
        <w:ind w:firstLine="624"/>
        <w:rPr>
          <w:color w:val="000000"/>
        </w:rPr>
      </w:pPr>
      <w:r>
        <w:rPr>
          <w:color w:val="000000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 Первым учителем, который может помочь обществу решить эту проблему, должен стать воспитатель детского сада и родители. Но, как правило, родители не всегда знают правила дорожного движения или не всегда выполняют их, имеют смутное представление о проблеме детского дорожно - транспортного травматизма.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- доступно разъяснить правила ребенку, а при выборе формы обучения донести до детей смысл опасных ситуаций на дороге. Важное значение имеет хорошо организованный педагогический процесс при обучении дошкольников ПДД.</w:t>
      </w:r>
    </w:p>
    <w:p w14:paraId="09000000">
      <w:pPr>
        <w:pStyle w:val="Style_1"/>
        <w:ind w:firstLine="624"/>
        <w:rPr>
          <w:color w:val="000000"/>
        </w:rPr>
      </w:pPr>
      <w:r>
        <w:rPr>
          <w:color w:val="000000"/>
        </w:rPr>
        <w:t>В процессе обучения правилам безопасности дорожного движения важны не только знания, но и развитие у воспитанников таких необходимых качеств, как внимание, память, мышление, координация движений, реакция на опасность (развитие «чувства опасности»).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 Поэтому важно создать в ДОУ условия, оптимально обеспечивающие процесс обучения дошкольников правилам дорожного движения и формирование у них необходимых умений и навыков, выработку положительных, устойчивых привычек безопасного поведения на улицах города. Для реализации программных задач по обучению детей правилам дорожного движения воспитателям необходимо создать в группах предметно-развивающую среду по ПДД.</w:t>
      </w:r>
    </w:p>
    <w:p w14:paraId="0A000000">
      <w:pPr>
        <w:pStyle w:val="Style_1"/>
        <w:ind w:firstLine="624"/>
        <w:rPr>
          <w:color w:val="000000"/>
        </w:rPr>
      </w:pPr>
      <w:r>
        <w:rPr>
          <w:color w:val="000000"/>
        </w:rPr>
        <w:t>Предметно-развивающая среда - это система материальных объектов деятельности ребенка, функционально моделирующая содержание его духовного и физического развития. Она должна объективно (через свое содержание и свойства) создавать условия для творческой деятельности каждого ребенка, служить целям актуального физического и психического развития и совершенствования, обеспечивать зону ближайшего развития и его перспективу.</w:t>
      </w:r>
    </w:p>
    <w:p w14:paraId="0B000000">
      <w:pPr>
        <w:pStyle w:val="Style_1"/>
        <w:ind w:firstLine="624"/>
        <w:rPr>
          <w:color w:val="000000"/>
        </w:rPr>
      </w:pPr>
      <w:r>
        <w:rPr>
          <w:color w:val="000000"/>
        </w:rPr>
        <w:t xml:space="preserve">Окружающая ребенка среда должна обеспечивать ему физическое, умственное, эстетическое, нравственное, т. е. разностороннее развитие и воспитание. Обучая детей правилам дорожного движения, воспитатели должны не только иметь методический и иллюстрационный художественный материал, но и создать в группе игровую зону. Необходимо учитывать, что ведущими для детей являются игра, труд и общение, и именно на основе интеграции этих видов деятельности строится формирование представлений дошкольников о правилах дорожного движения. Игра способствует активизации детского внимания, развитию памяти, мышления, эмоций. В игре ребенок закрепляет свои знания по ознакомлению </w:t>
      </w:r>
      <w:r>
        <w:rPr>
          <w:color w:val="000000"/>
        </w:rPr>
        <w:t>правилами дорожного движения, полученные на занятии. При подборе игровой зоны в группе по обучению детей правилам дорожного движения необходимо учитывать возрастные особенности детей.</w:t>
      </w:r>
    </w:p>
    <w:p w14:paraId="0C000000">
      <w:pPr>
        <w:pStyle w:val="Style_1"/>
        <w:ind w:firstLine="624"/>
        <w:rPr>
          <w:color w:val="000000"/>
        </w:rPr>
      </w:pPr>
      <w:r>
        <w:rPr>
          <w:color w:val="000000"/>
        </w:rPr>
        <w:t>Создавая предметно-развивающую среду, необходимо помнить, что 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</w:t>
      </w:r>
    </w:p>
    <w:p w14:paraId="0D000000">
      <w:pPr>
        <w:pStyle w:val="Style_1"/>
        <w:ind w:firstLine="624"/>
        <w:rPr>
          <w:color w:val="000000"/>
        </w:rPr>
      </w:pPr>
      <w:r>
        <w:rPr>
          <w:color w:val="000000"/>
        </w:rPr>
        <w:t xml:space="preserve">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</w:t>
      </w:r>
      <w:r>
        <w:rPr>
          <w:color w:val="000000"/>
        </w:rPr>
        <w:t>дошкольного учреждения и психологические особенности возрастной группы, на которую нацелена данная среда.</w:t>
      </w:r>
    </w:p>
    <w:p w14:paraId="0E000000">
      <w:pPr>
        <w:pStyle w:val="Style_1"/>
        <w:ind w:firstLine="624"/>
        <w:rPr>
          <w:color w:val="000000"/>
        </w:rPr>
      </w:pPr>
      <w:r>
        <w:rPr>
          <w:color w:val="000000"/>
        </w:rPr>
        <w:t>Рекомендуется включить в игровую зону группового помещения следующее:</w:t>
      </w:r>
    </w:p>
    <w:p w14:paraId="0F000000">
      <w:pPr>
        <w:pStyle w:val="Style_1"/>
        <w:ind w:firstLine="624"/>
        <w:rPr>
          <w:color w:val="000000"/>
        </w:rPr>
      </w:pPr>
      <w:r>
        <w:rPr>
          <w:color w:val="000000"/>
        </w:rPr>
        <w:t>макет «Дорога»: светофор, дорожные знаки;</w:t>
      </w:r>
    </w:p>
    <w:p w14:paraId="10000000">
      <w:pPr>
        <w:pStyle w:val="Style_1"/>
        <w:ind w:firstLine="624"/>
        <w:rPr>
          <w:color w:val="000000"/>
        </w:rPr>
      </w:pPr>
      <w:r>
        <w:rPr>
          <w:color w:val="000000"/>
        </w:rPr>
        <w:t>набор мягких, ярких модулей: «Зебра» - пешеходный переход:</w:t>
      </w:r>
    </w:p>
    <w:p w14:paraId="11000000">
      <w:pPr>
        <w:pStyle w:val="Style_1"/>
        <w:ind w:firstLine="624"/>
        <w:rPr>
          <w:color w:val="000000"/>
        </w:rPr>
      </w:pPr>
      <w:r>
        <w:rPr>
          <w:color w:val="000000"/>
        </w:rPr>
        <w:t>атрибуты для игр: жезл, свисток, рули, костюмы, кепка ДПС;</w:t>
      </w:r>
    </w:p>
    <w:p w14:paraId="12000000">
      <w:pPr>
        <w:pStyle w:val="Style_1"/>
        <w:ind w:firstLine="624"/>
        <w:rPr>
          <w:color w:val="000000"/>
        </w:rPr>
      </w:pPr>
      <w:r>
        <w:rPr>
          <w:color w:val="000000"/>
        </w:rPr>
        <w:t>машины (грузовые, легковые);</w:t>
      </w:r>
    </w:p>
    <w:p w14:paraId="13000000">
      <w:pPr>
        <w:pStyle w:val="Style_1"/>
        <w:ind w:firstLine="624"/>
        <w:rPr>
          <w:color w:val="000000"/>
        </w:rPr>
      </w:pPr>
      <w:r>
        <w:rPr>
          <w:color w:val="000000"/>
        </w:rPr>
        <w:t>дорожные знаки;</w:t>
      </w:r>
    </w:p>
    <w:p w14:paraId="14000000">
      <w:pPr>
        <w:pStyle w:val="Style_1"/>
        <w:ind w:firstLine="624"/>
        <w:rPr>
          <w:color w:val="000000"/>
        </w:rPr>
      </w:pPr>
      <w:r>
        <w:rPr>
          <w:color w:val="000000"/>
        </w:rPr>
        <w:t>настольные печатные игры,</w:t>
      </w:r>
    </w:p>
    <w:p w14:paraId="15000000">
      <w:pPr>
        <w:pStyle w:val="Style_1"/>
        <w:ind w:firstLine="624"/>
        <w:rPr>
          <w:color w:val="000000"/>
        </w:rPr>
      </w:pPr>
      <w:r>
        <w:rPr>
          <w:color w:val="000000"/>
        </w:rPr>
        <w:t>плакаты, картинки, альбомы по ПДД;</w:t>
      </w:r>
    </w:p>
    <w:p w14:paraId="16000000">
      <w:pPr>
        <w:pStyle w:val="Style_1"/>
        <w:ind w:firstLine="624"/>
        <w:rPr>
          <w:color w:val="000000"/>
        </w:rPr>
      </w:pPr>
      <w:r>
        <w:rPr>
          <w:color w:val="000000"/>
        </w:rPr>
        <w:t>книжки-самоделки;</w:t>
      </w:r>
    </w:p>
    <w:p w14:paraId="17000000">
      <w:pPr>
        <w:pStyle w:val="Style_1"/>
        <w:ind w:firstLine="624"/>
        <w:rPr>
          <w:color w:val="000000"/>
        </w:rPr>
      </w:pPr>
      <w:r>
        <w:rPr>
          <w:color w:val="000000"/>
        </w:rPr>
        <w:t>художественная литература по теме;</w:t>
      </w:r>
    </w:p>
    <w:p w14:paraId="18000000">
      <w:pPr>
        <w:pStyle w:val="Style_1"/>
        <w:ind w:firstLine="624"/>
        <w:rPr>
          <w:color w:val="000000"/>
        </w:rPr>
      </w:pPr>
      <w:r>
        <w:rPr>
          <w:color w:val="000000"/>
        </w:rPr>
        <w:t>уголок изодеятельности (книжки-раскраски, трафареты машин);</w:t>
      </w:r>
    </w:p>
    <w:p w14:paraId="19000000">
      <w:pPr>
        <w:pStyle w:val="Style_1"/>
        <w:ind w:firstLine="624"/>
        <w:rPr>
          <w:color w:val="000000"/>
        </w:rPr>
      </w:pPr>
      <w:r>
        <w:rPr>
          <w:color w:val="000000"/>
        </w:rPr>
        <w:t>подвижные игры, сюжетно-ролевые (по возрасту);</w:t>
      </w:r>
    </w:p>
    <w:p w14:paraId="1A000000">
      <w:pPr>
        <w:pStyle w:val="Style_1"/>
        <w:ind w:firstLine="624"/>
        <w:rPr>
          <w:color w:val="000000"/>
        </w:rPr>
      </w:pPr>
      <w:r>
        <w:rPr>
          <w:color w:val="000000"/>
        </w:rPr>
        <w:t>дидактические игры.</w:t>
      </w:r>
    </w:p>
    <w:p w14:paraId="1B000000">
      <w:pPr>
        <w:pStyle w:val="Style_1"/>
        <w:rPr>
          <w:color w:val="00000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2024-12-19T15:27:35Z</dcterms:modified>
</cp:coreProperties>
</file>